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3AE" w:rsidRPr="004F13AE" w:rsidRDefault="004F13AE" w:rsidP="004F13AE">
      <w:pPr>
        <w:spacing w:before="100" w:beforeAutospacing="1" w:after="100" w:afterAutospacing="1" w:line="240" w:lineRule="auto"/>
        <w:ind w:left="1050" w:right="3150"/>
        <w:rPr>
          <w:rFonts w:ascii="Arial" w:eastAsia="Times New Roman" w:hAnsi="Arial" w:cs="Arial"/>
          <w:color w:val="000000"/>
          <w:sz w:val="20"/>
          <w:szCs w:val="20"/>
        </w:rPr>
      </w:pPr>
      <w:r w:rsidRPr="004F13AE">
        <w:rPr>
          <w:rFonts w:ascii="Arial" w:eastAsia="Times New Roman" w:hAnsi="Arial" w:cs="Arial"/>
          <w:color w:val="000000"/>
          <w:sz w:val="20"/>
          <w:szCs w:val="20"/>
        </w:rPr>
        <w:t>Na osnovu članka 3. stavka 3. Zakona o komunalnom gospodarstvu (Narodne novine broj 26/03. - pročišćeni tekst; 82/04. i 110/04.) i članka 9. Statuta općine Brckovljani (Službeni glasnik općine Brckovljani broj 05/01.) Općinsko vijeće općine Brckovljani na 20. sjednici održanoj 24. rujna 2004. godine donijelo je</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4"/>
          <w:szCs w:val="24"/>
        </w:rPr>
        <w:t>ODLUKU </w:t>
      </w:r>
      <w:r w:rsidRPr="004F13AE">
        <w:rPr>
          <w:rFonts w:ascii="Arial" w:eastAsia="Times New Roman" w:hAnsi="Arial" w:cs="Arial"/>
          <w:b/>
          <w:bCs/>
          <w:color w:val="000000"/>
          <w:sz w:val="24"/>
          <w:szCs w:val="24"/>
        </w:rPr>
        <w:br/>
      </w:r>
      <w:r w:rsidRPr="004F13AE">
        <w:rPr>
          <w:rFonts w:ascii="Arial" w:eastAsia="Times New Roman" w:hAnsi="Arial" w:cs="Arial"/>
          <w:b/>
          <w:bCs/>
          <w:color w:val="000000"/>
          <w:sz w:val="20"/>
          <w:szCs w:val="20"/>
        </w:rPr>
        <w:t>o komunalnom doprinosu Općine Brckovljani</w:t>
      </w:r>
    </w:p>
    <w:p w:rsidR="004F13AE" w:rsidRPr="004F13AE" w:rsidRDefault="004F13AE" w:rsidP="004F13AE">
      <w:pPr>
        <w:spacing w:before="360" w:after="240" w:line="240" w:lineRule="atLeast"/>
        <w:ind w:left="1050" w:right="105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I. OPĆE ODREDBE</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Ovom Odlukom određuju se uvjeti i način utvrđivanja visine komunalnog doprinosa, te visina komunalnog doprinosa u Općini Brckovljani:</w:t>
      </w:r>
    </w:p>
    <w:p w:rsidR="004F13AE" w:rsidRPr="004F13AE" w:rsidRDefault="004F13AE" w:rsidP="004F13AE">
      <w:pPr>
        <w:spacing w:before="15" w:after="15" w:line="240" w:lineRule="auto"/>
        <w:ind w:left="1950" w:right="10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područja zona u Općini Brckovljani ovisno o pogodnosti položaja određenog područja,</w:t>
      </w:r>
    </w:p>
    <w:p w:rsidR="004F13AE" w:rsidRPr="004F13AE" w:rsidRDefault="004F13AE" w:rsidP="004F13AE">
      <w:pPr>
        <w:spacing w:before="15" w:after="15" w:line="240" w:lineRule="auto"/>
        <w:ind w:left="1950" w:right="10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jedinična vrijednost komunalnog doprinosa određena u kunama po m</w:t>
      </w:r>
      <w:r w:rsidRPr="004F13AE">
        <w:rPr>
          <w:rFonts w:ascii="Arial" w:eastAsia="Times New Roman" w:hAnsi="Arial" w:cs="Arial"/>
          <w:color w:val="000000"/>
          <w:sz w:val="20"/>
          <w:szCs w:val="20"/>
          <w:vertAlign w:val="superscript"/>
        </w:rPr>
        <w:t>3</w:t>
      </w:r>
      <w:r w:rsidRPr="004F13AE">
        <w:rPr>
          <w:rFonts w:ascii="Arial" w:eastAsia="Times New Roman" w:hAnsi="Arial" w:cs="Arial"/>
          <w:color w:val="000000"/>
          <w:sz w:val="20"/>
        </w:rPr>
        <w:t> </w:t>
      </w:r>
      <w:r w:rsidRPr="004F13AE">
        <w:rPr>
          <w:rFonts w:ascii="Arial" w:eastAsia="Times New Roman" w:hAnsi="Arial" w:cs="Arial"/>
          <w:color w:val="000000"/>
          <w:sz w:val="20"/>
          <w:szCs w:val="20"/>
        </w:rPr>
        <w:t>građevine za pojedine zone,</w:t>
      </w:r>
    </w:p>
    <w:p w:rsidR="004F13AE" w:rsidRPr="004F13AE" w:rsidRDefault="004F13AE" w:rsidP="004F13AE">
      <w:pPr>
        <w:spacing w:before="15" w:after="15" w:line="240" w:lineRule="auto"/>
        <w:ind w:left="1950" w:right="10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način i rokovi plaćanja komunalnog doprinosa,</w:t>
      </w:r>
    </w:p>
    <w:p w:rsidR="004F13AE" w:rsidRPr="004F13AE" w:rsidRDefault="004F13AE" w:rsidP="004F13AE">
      <w:pPr>
        <w:spacing w:before="15" w:after="15" w:line="240" w:lineRule="auto"/>
        <w:ind w:left="1950" w:right="10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opći uvjeti i razlozi zbog kojih se u pojedinačnim slučajevima može odobriti djelomično ili potpuno oslobađanje od plaćanja komunalnog doprinosa, izvore sredstava iz kojih će se namiriti iznos za slučaj potpunog ili djelomičnog oslobađanja od plaćanja komunalnog 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2.</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Komunalni doprinos je prihod proračuna Općine Brckovljani. Sredstva komunalnog doprinosa namijenjena su financiranju gradnje objekata i uređaja komunalne infrastrukture:</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javne površine,</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nerazvrstane ceste,</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groblje,</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javna rasvjeta.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3.</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Komunalni doprinos plaća vlasnik građevne čestice na kojoj se gradi građevina, odnosno investitor objekta bez obzira da li se građevna čestica nalazi u građevnom području ili van građevnog područja.</w:t>
      </w:r>
    </w:p>
    <w:p w:rsidR="004F13AE" w:rsidRPr="004F13AE" w:rsidRDefault="004F13AE" w:rsidP="004F13AE">
      <w:pPr>
        <w:spacing w:before="360" w:after="240" w:line="240" w:lineRule="atLeast"/>
        <w:ind w:left="1050" w:right="105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II. ZONE ZA PLAĆANJE KOMUNALNOG 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4.</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Za sva naselja na području Općine Brckovljani utvrđuje se jedna zona za naplaćivanje komunalnog doprinosa.</w:t>
      </w:r>
    </w:p>
    <w:p w:rsidR="004F13AE" w:rsidRPr="004F13AE" w:rsidRDefault="004F13AE" w:rsidP="004F13AE">
      <w:pPr>
        <w:spacing w:before="360" w:after="240" w:line="240" w:lineRule="atLeast"/>
        <w:ind w:left="1050" w:right="105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III. JEDINIČNA VRIJEDNOST KOMUNALNOG 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5.</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Utvrđuje se jedinična vrijednost komunalnog doprinosa u kunama po m</w:t>
      </w:r>
      <w:r w:rsidRPr="004F13AE">
        <w:rPr>
          <w:rFonts w:ascii="Arial" w:eastAsia="Times New Roman" w:hAnsi="Arial" w:cs="Arial"/>
          <w:color w:val="000000"/>
          <w:sz w:val="20"/>
          <w:szCs w:val="20"/>
          <w:vertAlign w:val="superscript"/>
        </w:rPr>
        <w:t>3</w:t>
      </w:r>
      <w:r w:rsidRPr="004F13AE">
        <w:rPr>
          <w:rFonts w:ascii="Arial" w:eastAsia="Times New Roman" w:hAnsi="Arial" w:cs="Arial"/>
          <w:color w:val="000000"/>
          <w:sz w:val="20"/>
        </w:rPr>
        <w:t> </w:t>
      </w:r>
      <w:r w:rsidRPr="004F13AE">
        <w:rPr>
          <w:rFonts w:ascii="Arial" w:eastAsia="Times New Roman" w:hAnsi="Arial" w:cs="Arial"/>
          <w:color w:val="000000"/>
          <w:sz w:val="20"/>
          <w:szCs w:val="20"/>
        </w:rPr>
        <w:t>građevine i to:</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w:t>
      </w:r>
    </w:p>
    <w:tbl>
      <w:tblPr>
        <w:tblW w:w="7500" w:type="dxa"/>
        <w:jc w:val="center"/>
        <w:tblCellSpacing w:w="0" w:type="dxa"/>
        <w:tblCellMar>
          <w:top w:w="30" w:type="dxa"/>
          <w:left w:w="30" w:type="dxa"/>
          <w:bottom w:w="30" w:type="dxa"/>
          <w:right w:w="30" w:type="dxa"/>
        </w:tblCellMar>
        <w:tblLook w:val="04A0"/>
      </w:tblPr>
      <w:tblGrid>
        <w:gridCol w:w="4015"/>
        <w:gridCol w:w="1836"/>
        <w:gridCol w:w="1649"/>
      </w:tblGrid>
      <w:tr w:rsidR="004F13AE" w:rsidRPr="004F13AE" w:rsidTr="004F13AE">
        <w:trPr>
          <w:trHeight w:val="480"/>
          <w:tblCellSpacing w:w="0" w:type="dxa"/>
          <w:jc w:val="center"/>
        </w:trPr>
        <w:tc>
          <w:tcPr>
            <w:tcW w:w="3870" w:type="dxa"/>
            <w:hideMark/>
          </w:tcPr>
          <w:p w:rsidR="004F13AE" w:rsidRPr="004F13AE" w:rsidRDefault="004F13AE" w:rsidP="004F13AE">
            <w:pPr>
              <w:spacing w:before="100" w:beforeAutospacing="1" w:after="100" w:afterAutospacing="1" w:line="240" w:lineRule="auto"/>
              <w:rPr>
                <w:rFonts w:ascii="Times New Roman" w:eastAsia="Times New Roman" w:hAnsi="Times New Roman" w:cs="Times New Roman"/>
                <w:sz w:val="24"/>
                <w:szCs w:val="24"/>
              </w:rPr>
            </w:pPr>
            <w:r w:rsidRPr="004F13AE">
              <w:rPr>
                <w:rFonts w:ascii="Arial" w:eastAsia="Times New Roman" w:hAnsi="Arial" w:cs="Arial"/>
                <w:sz w:val="20"/>
                <w:szCs w:val="20"/>
              </w:rPr>
              <w:t>OBJEKT I ZONE</w:t>
            </w:r>
          </w:p>
        </w:tc>
        <w:tc>
          <w:tcPr>
            <w:tcW w:w="1770" w:type="dxa"/>
            <w:hideMark/>
          </w:tcPr>
          <w:p w:rsidR="004F13AE" w:rsidRPr="004F13AE" w:rsidRDefault="004F13AE" w:rsidP="004F13AE">
            <w:pPr>
              <w:spacing w:before="100" w:beforeAutospacing="1" w:after="100" w:afterAutospacing="1" w:line="240" w:lineRule="auto"/>
              <w:jc w:val="right"/>
              <w:rPr>
                <w:rFonts w:ascii="Times New Roman" w:eastAsia="Times New Roman" w:hAnsi="Times New Roman" w:cs="Times New Roman"/>
                <w:sz w:val="24"/>
                <w:szCs w:val="24"/>
              </w:rPr>
            </w:pPr>
            <w:r w:rsidRPr="004F13AE">
              <w:rPr>
                <w:rFonts w:ascii="Arial" w:eastAsia="Times New Roman" w:hAnsi="Arial" w:cs="Arial"/>
                <w:sz w:val="20"/>
                <w:szCs w:val="20"/>
              </w:rPr>
              <w:t>STAMBENI PROSTOR</w:t>
            </w:r>
          </w:p>
        </w:tc>
        <w:tc>
          <w:tcPr>
            <w:tcW w:w="1590" w:type="dxa"/>
            <w:hideMark/>
          </w:tcPr>
          <w:p w:rsidR="004F13AE" w:rsidRPr="004F13AE" w:rsidRDefault="004F13AE" w:rsidP="004F13AE">
            <w:pPr>
              <w:spacing w:before="100" w:beforeAutospacing="1" w:after="100" w:afterAutospacing="1" w:line="240" w:lineRule="auto"/>
              <w:jc w:val="right"/>
              <w:rPr>
                <w:rFonts w:ascii="Times New Roman" w:eastAsia="Times New Roman" w:hAnsi="Times New Roman" w:cs="Times New Roman"/>
                <w:sz w:val="24"/>
                <w:szCs w:val="24"/>
              </w:rPr>
            </w:pPr>
            <w:r w:rsidRPr="004F13AE">
              <w:rPr>
                <w:rFonts w:ascii="Arial" w:eastAsia="Times New Roman" w:hAnsi="Arial" w:cs="Arial"/>
                <w:sz w:val="20"/>
                <w:szCs w:val="20"/>
              </w:rPr>
              <w:t xml:space="preserve">POSLOVNI I GOSPODARSKI </w:t>
            </w:r>
            <w:r w:rsidRPr="004F13AE">
              <w:rPr>
                <w:rFonts w:ascii="Arial" w:eastAsia="Times New Roman" w:hAnsi="Arial" w:cs="Arial"/>
                <w:sz w:val="20"/>
                <w:szCs w:val="20"/>
              </w:rPr>
              <w:lastRenderedPageBreak/>
              <w:t>PROSTOR</w:t>
            </w:r>
          </w:p>
        </w:tc>
      </w:tr>
      <w:tr w:rsidR="004F13AE" w:rsidRPr="004F13AE" w:rsidTr="004F13AE">
        <w:trPr>
          <w:trHeight w:val="210"/>
          <w:tblCellSpacing w:w="0" w:type="dxa"/>
          <w:jc w:val="center"/>
        </w:trPr>
        <w:tc>
          <w:tcPr>
            <w:tcW w:w="3870" w:type="dxa"/>
            <w:hideMark/>
          </w:tcPr>
          <w:p w:rsidR="004F13AE" w:rsidRPr="004F13AE" w:rsidRDefault="004F13AE" w:rsidP="004F13AE">
            <w:pPr>
              <w:spacing w:before="100" w:beforeAutospacing="1" w:after="100" w:afterAutospacing="1" w:line="210" w:lineRule="atLeast"/>
              <w:jc w:val="center"/>
              <w:rPr>
                <w:rFonts w:ascii="Times New Roman" w:eastAsia="Times New Roman" w:hAnsi="Times New Roman" w:cs="Times New Roman"/>
                <w:sz w:val="24"/>
                <w:szCs w:val="24"/>
              </w:rPr>
            </w:pPr>
            <w:r w:rsidRPr="004F13AE">
              <w:rPr>
                <w:rFonts w:ascii="Arial" w:eastAsia="Times New Roman" w:hAnsi="Arial" w:cs="Arial"/>
                <w:sz w:val="20"/>
                <w:szCs w:val="20"/>
              </w:rPr>
              <w:lastRenderedPageBreak/>
              <w:t>1</w:t>
            </w:r>
          </w:p>
        </w:tc>
        <w:tc>
          <w:tcPr>
            <w:tcW w:w="1770" w:type="dxa"/>
            <w:hideMark/>
          </w:tcPr>
          <w:p w:rsidR="004F13AE" w:rsidRPr="004F13AE" w:rsidRDefault="004F13AE" w:rsidP="004F13AE">
            <w:pPr>
              <w:spacing w:before="100" w:beforeAutospacing="1" w:after="100" w:afterAutospacing="1" w:line="210" w:lineRule="atLeast"/>
              <w:jc w:val="center"/>
              <w:rPr>
                <w:rFonts w:ascii="Times New Roman" w:eastAsia="Times New Roman" w:hAnsi="Times New Roman" w:cs="Times New Roman"/>
                <w:sz w:val="24"/>
                <w:szCs w:val="24"/>
              </w:rPr>
            </w:pPr>
            <w:r w:rsidRPr="004F13AE">
              <w:rPr>
                <w:rFonts w:ascii="Arial" w:eastAsia="Times New Roman" w:hAnsi="Arial" w:cs="Arial"/>
                <w:sz w:val="20"/>
                <w:szCs w:val="20"/>
              </w:rPr>
              <w:t>2</w:t>
            </w:r>
          </w:p>
        </w:tc>
        <w:tc>
          <w:tcPr>
            <w:tcW w:w="1590" w:type="dxa"/>
            <w:hideMark/>
          </w:tcPr>
          <w:p w:rsidR="004F13AE" w:rsidRPr="004F13AE" w:rsidRDefault="004F13AE" w:rsidP="004F13AE">
            <w:pPr>
              <w:spacing w:before="100" w:beforeAutospacing="1" w:after="100" w:afterAutospacing="1" w:line="210" w:lineRule="atLeast"/>
              <w:jc w:val="center"/>
              <w:rPr>
                <w:rFonts w:ascii="Times New Roman" w:eastAsia="Times New Roman" w:hAnsi="Times New Roman" w:cs="Times New Roman"/>
                <w:sz w:val="24"/>
                <w:szCs w:val="24"/>
              </w:rPr>
            </w:pPr>
            <w:r w:rsidRPr="004F13AE">
              <w:rPr>
                <w:rFonts w:ascii="Arial" w:eastAsia="Times New Roman" w:hAnsi="Arial" w:cs="Arial"/>
                <w:sz w:val="20"/>
                <w:szCs w:val="20"/>
              </w:rPr>
              <w:t>3</w:t>
            </w:r>
          </w:p>
        </w:tc>
      </w:tr>
      <w:tr w:rsidR="004F13AE" w:rsidRPr="004F13AE" w:rsidTr="004F13AE">
        <w:trPr>
          <w:trHeight w:val="165"/>
          <w:tblCellSpacing w:w="0" w:type="dxa"/>
          <w:jc w:val="center"/>
        </w:trPr>
        <w:tc>
          <w:tcPr>
            <w:tcW w:w="3870" w:type="dxa"/>
            <w:hideMark/>
          </w:tcPr>
          <w:p w:rsidR="004F13AE" w:rsidRPr="004F13AE" w:rsidRDefault="004F13AE" w:rsidP="004F13AE">
            <w:pPr>
              <w:spacing w:before="100" w:beforeAutospacing="1" w:after="100" w:afterAutospacing="1" w:line="165" w:lineRule="atLeast"/>
              <w:rPr>
                <w:rFonts w:ascii="Times New Roman" w:eastAsia="Times New Roman" w:hAnsi="Times New Roman" w:cs="Times New Roman"/>
                <w:sz w:val="24"/>
                <w:szCs w:val="24"/>
              </w:rPr>
            </w:pPr>
            <w:r w:rsidRPr="004F13AE">
              <w:rPr>
                <w:rFonts w:ascii="Arial" w:eastAsia="Times New Roman" w:hAnsi="Arial" w:cs="Arial"/>
                <w:sz w:val="20"/>
                <w:szCs w:val="20"/>
              </w:rPr>
              <w:t>1. JAVNE POVRŠINE (nogostup itd.)</w:t>
            </w:r>
          </w:p>
        </w:tc>
        <w:tc>
          <w:tcPr>
            <w:tcW w:w="1770" w:type="dxa"/>
            <w:hideMark/>
          </w:tcPr>
          <w:p w:rsidR="004F13AE" w:rsidRPr="004F13AE" w:rsidRDefault="004F13AE" w:rsidP="004F13AE">
            <w:pPr>
              <w:spacing w:before="100" w:beforeAutospacing="1" w:after="100" w:afterAutospacing="1" w:line="165"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7,00 kn/m</w:t>
            </w:r>
            <w:r w:rsidRPr="004F13AE">
              <w:rPr>
                <w:rFonts w:ascii="Arial" w:eastAsia="Times New Roman" w:hAnsi="Arial" w:cs="Arial"/>
                <w:sz w:val="20"/>
                <w:szCs w:val="20"/>
                <w:vertAlign w:val="superscript"/>
              </w:rPr>
              <w:t>3</w:t>
            </w:r>
          </w:p>
        </w:tc>
        <w:tc>
          <w:tcPr>
            <w:tcW w:w="1590" w:type="dxa"/>
            <w:hideMark/>
          </w:tcPr>
          <w:p w:rsidR="004F13AE" w:rsidRPr="004F13AE" w:rsidRDefault="004F13AE" w:rsidP="004F13AE">
            <w:pPr>
              <w:spacing w:before="100" w:beforeAutospacing="1" w:after="100" w:afterAutospacing="1" w:line="165"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12,00 kn/m</w:t>
            </w:r>
            <w:r w:rsidRPr="004F13AE">
              <w:rPr>
                <w:rFonts w:ascii="Arial" w:eastAsia="Times New Roman" w:hAnsi="Arial" w:cs="Arial"/>
                <w:sz w:val="20"/>
                <w:szCs w:val="20"/>
                <w:vertAlign w:val="superscript"/>
              </w:rPr>
              <w:t>3</w:t>
            </w:r>
          </w:p>
        </w:tc>
      </w:tr>
      <w:tr w:rsidR="004F13AE" w:rsidRPr="004F13AE" w:rsidTr="004F13AE">
        <w:trPr>
          <w:trHeight w:val="135"/>
          <w:tblCellSpacing w:w="0" w:type="dxa"/>
          <w:jc w:val="center"/>
        </w:trPr>
        <w:tc>
          <w:tcPr>
            <w:tcW w:w="3870" w:type="dxa"/>
            <w:hideMark/>
          </w:tcPr>
          <w:p w:rsidR="004F13AE" w:rsidRPr="004F13AE" w:rsidRDefault="004F13AE" w:rsidP="004F13AE">
            <w:pPr>
              <w:spacing w:before="100" w:beforeAutospacing="1" w:after="100" w:afterAutospacing="1" w:line="135" w:lineRule="atLeast"/>
              <w:rPr>
                <w:rFonts w:ascii="Times New Roman" w:eastAsia="Times New Roman" w:hAnsi="Times New Roman" w:cs="Times New Roman"/>
                <w:sz w:val="24"/>
                <w:szCs w:val="24"/>
              </w:rPr>
            </w:pPr>
            <w:r w:rsidRPr="004F13AE">
              <w:rPr>
                <w:rFonts w:ascii="Arial" w:eastAsia="Times New Roman" w:hAnsi="Arial" w:cs="Arial"/>
                <w:sz w:val="20"/>
                <w:szCs w:val="20"/>
              </w:rPr>
              <w:t>2. a) ASFALTNA CESTA</w:t>
            </w:r>
          </w:p>
        </w:tc>
        <w:tc>
          <w:tcPr>
            <w:tcW w:w="1770" w:type="dxa"/>
            <w:hideMark/>
          </w:tcPr>
          <w:p w:rsidR="004F13AE" w:rsidRPr="004F13AE" w:rsidRDefault="004F13AE" w:rsidP="004F13AE">
            <w:pPr>
              <w:spacing w:before="100" w:beforeAutospacing="1" w:after="100" w:afterAutospacing="1" w:line="135"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18,00kn/m</w:t>
            </w:r>
            <w:r w:rsidRPr="004F13AE">
              <w:rPr>
                <w:rFonts w:ascii="Arial" w:eastAsia="Times New Roman" w:hAnsi="Arial" w:cs="Arial"/>
                <w:sz w:val="20"/>
                <w:szCs w:val="20"/>
                <w:vertAlign w:val="superscript"/>
              </w:rPr>
              <w:t>3</w:t>
            </w:r>
          </w:p>
        </w:tc>
        <w:tc>
          <w:tcPr>
            <w:tcW w:w="1590" w:type="dxa"/>
            <w:hideMark/>
          </w:tcPr>
          <w:p w:rsidR="004F13AE" w:rsidRPr="004F13AE" w:rsidRDefault="004F13AE" w:rsidP="004F13AE">
            <w:pPr>
              <w:spacing w:before="100" w:beforeAutospacing="1" w:after="100" w:afterAutospacing="1" w:line="135"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30,00 kn/m</w:t>
            </w:r>
            <w:r w:rsidRPr="004F13AE">
              <w:rPr>
                <w:rFonts w:ascii="Arial" w:eastAsia="Times New Roman" w:hAnsi="Arial" w:cs="Arial"/>
                <w:sz w:val="20"/>
                <w:szCs w:val="20"/>
                <w:vertAlign w:val="superscript"/>
              </w:rPr>
              <w:t>3</w:t>
            </w:r>
          </w:p>
        </w:tc>
      </w:tr>
      <w:tr w:rsidR="004F13AE" w:rsidRPr="004F13AE" w:rsidTr="004F13AE">
        <w:trPr>
          <w:trHeight w:val="210"/>
          <w:tblCellSpacing w:w="0" w:type="dxa"/>
          <w:jc w:val="center"/>
        </w:trPr>
        <w:tc>
          <w:tcPr>
            <w:tcW w:w="3870" w:type="dxa"/>
            <w:hideMark/>
          </w:tcPr>
          <w:p w:rsidR="004F13AE" w:rsidRPr="004F13AE" w:rsidRDefault="004F13AE" w:rsidP="004F13AE">
            <w:pPr>
              <w:spacing w:before="100" w:beforeAutospacing="1" w:after="100" w:afterAutospacing="1" w:line="210" w:lineRule="atLeast"/>
              <w:rPr>
                <w:rFonts w:ascii="Times New Roman" w:eastAsia="Times New Roman" w:hAnsi="Times New Roman" w:cs="Times New Roman"/>
                <w:sz w:val="24"/>
                <w:szCs w:val="24"/>
              </w:rPr>
            </w:pPr>
            <w:r w:rsidRPr="004F13AE">
              <w:rPr>
                <w:rFonts w:ascii="Arial" w:eastAsia="Times New Roman" w:hAnsi="Arial" w:cs="Arial"/>
                <w:sz w:val="20"/>
                <w:szCs w:val="20"/>
              </w:rPr>
              <w:t>2. b) MAKADAMSKA CESTA</w:t>
            </w:r>
          </w:p>
        </w:tc>
        <w:tc>
          <w:tcPr>
            <w:tcW w:w="1770" w:type="dxa"/>
            <w:hideMark/>
          </w:tcPr>
          <w:p w:rsidR="004F13AE" w:rsidRPr="004F13AE" w:rsidRDefault="004F13AE" w:rsidP="004F13AE">
            <w:pPr>
              <w:spacing w:before="100" w:beforeAutospacing="1" w:after="100" w:afterAutospacing="1" w:line="210"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7,00 kn/m</w:t>
            </w:r>
            <w:r w:rsidRPr="004F13AE">
              <w:rPr>
                <w:rFonts w:ascii="Arial" w:eastAsia="Times New Roman" w:hAnsi="Arial" w:cs="Arial"/>
                <w:sz w:val="20"/>
                <w:szCs w:val="20"/>
                <w:vertAlign w:val="superscript"/>
              </w:rPr>
              <w:t>3</w:t>
            </w:r>
          </w:p>
        </w:tc>
        <w:tc>
          <w:tcPr>
            <w:tcW w:w="1590" w:type="dxa"/>
            <w:hideMark/>
          </w:tcPr>
          <w:p w:rsidR="004F13AE" w:rsidRPr="004F13AE" w:rsidRDefault="004F13AE" w:rsidP="004F13AE">
            <w:pPr>
              <w:spacing w:before="100" w:beforeAutospacing="1" w:after="100" w:afterAutospacing="1" w:line="210"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12,00 kn/m</w:t>
            </w:r>
            <w:r w:rsidRPr="004F13AE">
              <w:rPr>
                <w:rFonts w:ascii="Arial" w:eastAsia="Times New Roman" w:hAnsi="Arial" w:cs="Arial"/>
                <w:sz w:val="20"/>
                <w:szCs w:val="20"/>
                <w:vertAlign w:val="superscript"/>
              </w:rPr>
              <w:t>3</w:t>
            </w:r>
          </w:p>
        </w:tc>
      </w:tr>
      <w:tr w:rsidR="004F13AE" w:rsidRPr="004F13AE" w:rsidTr="004F13AE">
        <w:trPr>
          <w:trHeight w:val="210"/>
          <w:tblCellSpacing w:w="0" w:type="dxa"/>
          <w:jc w:val="center"/>
        </w:trPr>
        <w:tc>
          <w:tcPr>
            <w:tcW w:w="3870" w:type="dxa"/>
            <w:hideMark/>
          </w:tcPr>
          <w:p w:rsidR="004F13AE" w:rsidRPr="004F13AE" w:rsidRDefault="004F13AE" w:rsidP="004F13AE">
            <w:pPr>
              <w:spacing w:before="100" w:beforeAutospacing="1" w:after="100" w:afterAutospacing="1" w:line="210" w:lineRule="atLeast"/>
              <w:rPr>
                <w:rFonts w:ascii="Times New Roman" w:eastAsia="Times New Roman" w:hAnsi="Times New Roman" w:cs="Times New Roman"/>
                <w:sz w:val="24"/>
                <w:szCs w:val="24"/>
              </w:rPr>
            </w:pPr>
            <w:r w:rsidRPr="004F13AE">
              <w:rPr>
                <w:rFonts w:ascii="Arial" w:eastAsia="Times New Roman" w:hAnsi="Arial" w:cs="Arial"/>
                <w:sz w:val="20"/>
                <w:szCs w:val="20"/>
              </w:rPr>
              <w:t>3. GROBLJE</w:t>
            </w:r>
          </w:p>
        </w:tc>
        <w:tc>
          <w:tcPr>
            <w:tcW w:w="1770" w:type="dxa"/>
            <w:hideMark/>
          </w:tcPr>
          <w:p w:rsidR="004F13AE" w:rsidRPr="004F13AE" w:rsidRDefault="004F13AE" w:rsidP="004F13AE">
            <w:pPr>
              <w:spacing w:before="100" w:beforeAutospacing="1" w:after="100" w:afterAutospacing="1" w:line="210"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3,00 kn/m</w:t>
            </w:r>
            <w:r w:rsidRPr="004F13AE">
              <w:rPr>
                <w:rFonts w:ascii="Arial" w:eastAsia="Times New Roman" w:hAnsi="Arial" w:cs="Arial"/>
                <w:sz w:val="20"/>
                <w:szCs w:val="20"/>
                <w:vertAlign w:val="superscript"/>
              </w:rPr>
              <w:t>3</w:t>
            </w:r>
          </w:p>
        </w:tc>
        <w:tc>
          <w:tcPr>
            <w:tcW w:w="1590" w:type="dxa"/>
            <w:hideMark/>
          </w:tcPr>
          <w:p w:rsidR="004F13AE" w:rsidRPr="004F13AE" w:rsidRDefault="004F13AE" w:rsidP="004F13AE">
            <w:pPr>
              <w:spacing w:before="100" w:beforeAutospacing="1" w:after="100" w:afterAutospacing="1" w:line="210" w:lineRule="atLeast"/>
              <w:jc w:val="right"/>
              <w:rPr>
                <w:rFonts w:ascii="Times New Roman" w:eastAsia="Times New Roman" w:hAnsi="Times New Roman" w:cs="Times New Roman"/>
                <w:sz w:val="24"/>
                <w:szCs w:val="24"/>
              </w:rPr>
            </w:pPr>
            <w:r w:rsidRPr="004F13AE">
              <w:rPr>
                <w:rFonts w:ascii="Arial" w:eastAsia="Times New Roman" w:hAnsi="Arial" w:cs="Arial"/>
                <w:sz w:val="20"/>
                <w:szCs w:val="20"/>
              </w:rPr>
              <w:t>..................</w:t>
            </w:r>
          </w:p>
        </w:tc>
      </w:tr>
      <w:tr w:rsidR="004F13AE" w:rsidRPr="004F13AE" w:rsidTr="004F13AE">
        <w:trPr>
          <w:trHeight w:val="315"/>
          <w:tblCellSpacing w:w="0" w:type="dxa"/>
          <w:jc w:val="center"/>
        </w:trPr>
        <w:tc>
          <w:tcPr>
            <w:tcW w:w="3870" w:type="dxa"/>
            <w:hideMark/>
          </w:tcPr>
          <w:p w:rsidR="004F13AE" w:rsidRPr="004F13AE" w:rsidRDefault="004F13AE" w:rsidP="004F13AE">
            <w:pPr>
              <w:spacing w:before="100" w:beforeAutospacing="1" w:after="100" w:afterAutospacing="1" w:line="240" w:lineRule="auto"/>
              <w:rPr>
                <w:rFonts w:ascii="Times New Roman" w:eastAsia="Times New Roman" w:hAnsi="Times New Roman" w:cs="Times New Roman"/>
                <w:sz w:val="24"/>
                <w:szCs w:val="24"/>
              </w:rPr>
            </w:pPr>
            <w:r w:rsidRPr="004F13AE">
              <w:rPr>
                <w:rFonts w:ascii="Arial" w:eastAsia="Times New Roman" w:hAnsi="Arial" w:cs="Arial"/>
                <w:sz w:val="20"/>
                <w:szCs w:val="20"/>
              </w:rPr>
              <w:t>4. JAVNA RASVJETA</w:t>
            </w:r>
          </w:p>
        </w:tc>
        <w:tc>
          <w:tcPr>
            <w:tcW w:w="1770" w:type="dxa"/>
            <w:hideMark/>
          </w:tcPr>
          <w:p w:rsidR="004F13AE" w:rsidRPr="004F13AE" w:rsidRDefault="004F13AE" w:rsidP="004F13AE">
            <w:pPr>
              <w:spacing w:before="100" w:beforeAutospacing="1" w:after="100" w:afterAutospacing="1" w:line="240" w:lineRule="auto"/>
              <w:jc w:val="right"/>
              <w:rPr>
                <w:rFonts w:ascii="Times New Roman" w:eastAsia="Times New Roman" w:hAnsi="Times New Roman" w:cs="Times New Roman"/>
                <w:sz w:val="24"/>
                <w:szCs w:val="24"/>
              </w:rPr>
            </w:pPr>
            <w:r w:rsidRPr="004F13AE">
              <w:rPr>
                <w:rFonts w:ascii="Arial" w:eastAsia="Times New Roman" w:hAnsi="Arial" w:cs="Arial"/>
                <w:sz w:val="20"/>
                <w:szCs w:val="20"/>
              </w:rPr>
              <w:t>3,00 kn/m</w:t>
            </w:r>
            <w:r w:rsidRPr="004F13AE">
              <w:rPr>
                <w:rFonts w:ascii="Arial" w:eastAsia="Times New Roman" w:hAnsi="Arial" w:cs="Arial"/>
                <w:sz w:val="20"/>
                <w:szCs w:val="20"/>
                <w:vertAlign w:val="superscript"/>
              </w:rPr>
              <w:t>3</w:t>
            </w:r>
          </w:p>
        </w:tc>
        <w:tc>
          <w:tcPr>
            <w:tcW w:w="1590" w:type="dxa"/>
            <w:hideMark/>
          </w:tcPr>
          <w:p w:rsidR="004F13AE" w:rsidRPr="004F13AE" w:rsidRDefault="004F13AE" w:rsidP="004F13AE">
            <w:pPr>
              <w:spacing w:before="100" w:beforeAutospacing="1" w:after="100" w:afterAutospacing="1" w:line="240" w:lineRule="auto"/>
              <w:jc w:val="right"/>
              <w:rPr>
                <w:rFonts w:ascii="Times New Roman" w:eastAsia="Times New Roman" w:hAnsi="Times New Roman" w:cs="Times New Roman"/>
                <w:sz w:val="24"/>
                <w:szCs w:val="24"/>
              </w:rPr>
            </w:pPr>
            <w:r w:rsidRPr="004F13AE">
              <w:rPr>
                <w:rFonts w:ascii="Arial" w:eastAsia="Times New Roman" w:hAnsi="Arial" w:cs="Arial"/>
                <w:sz w:val="20"/>
                <w:szCs w:val="20"/>
              </w:rPr>
              <w:t>5,00 kn/m</w:t>
            </w:r>
            <w:r w:rsidRPr="004F13AE">
              <w:rPr>
                <w:rFonts w:ascii="Arial" w:eastAsia="Times New Roman" w:hAnsi="Arial" w:cs="Arial"/>
                <w:sz w:val="20"/>
                <w:szCs w:val="20"/>
                <w:vertAlign w:val="superscript"/>
              </w:rPr>
              <w:t>3</w:t>
            </w:r>
          </w:p>
        </w:tc>
      </w:tr>
    </w:tbl>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Komunalni doprinos za klijeti, vikendice, garaže, ljetne kuhinje i pomoćne zgrade koje nisu namjenjene za obavljanje poslovne ili gospodarske djelatnosti obračunava se kao stambeni prostor.</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Kod poslovnih i gospodarskih objekata komunalni doprinos obračunava se prema stupcu 3. iz tabele ovog članka:</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u 100 % iznosa za prostor do 6,00 m visine objekta,</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u 50 % iznosa za prostor koji je iznad 6,00 m do 9,00 m visine objekta,</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 u 25% iznosa za prostor iznad 9,00 m visine objekta.</w:t>
      </w:r>
    </w:p>
    <w:p w:rsidR="004F13AE" w:rsidRPr="004F13AE" w:rsidRDefault="004F13AE" w:rsidP="004F13AE">
      <w:pPr>
        <w:spacing w:before="360" w:after="240" w:line="240" w:lineRule="atLeast"/>
        <w:ind w:left="1050" w:right="105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IV. NAČIN I ROKOVI PLAĆANJA KOMUNALNOG 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6.</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Komunalni doprinos obračunava se u skladu s obujmom, odnosno po m</w:t>
      </w:r>
      <w:r w:rsidRPr="004F13AE">
        <w:rPr>
          <w:rFonts w:ascii="Arial" w:eastAsia="Times New Roman" w:hAnsi="Arial" w:cs="Arial"/>
          <w:color w:val="000000"/>
          <w:sz w:val="20"/>
          <w:szCs w:val="20"/>
          <w:vertAlign w:val="superscript"/>
        </w:rPr>
        <w:t>3</w:t>
      </w:r>
      <w:r w:rsidRPr="004F13AE">
        <w:rPr>
          <w:rFonts w:ascii="Arial" w:eastAsia="Times New Roman" w:hAnsi="Arial" w:cs="Arial"/>
          <w:color w:val="000000"/>
          <w:sz w:val="20"/>
        </w:rPr>
        <w:t> </w:t>
      </w:r>
      <w:r w:rsidRPr="004F13AE">
        <w:rPr>
          <w:rFonts w:ascii="Arial" w:eastAsia="Times New Roman" w:hAnsi="Arial" w:cs="Arial"/>
          <w:color w:val="000000"/>
          <w:sz w:val="20"/>
          <w:szCs w:val="20"/>
        </w:rPr>
        <w:t>(prostornom metru) građevine koja se gradi na građevnoj čestici, a kod građevine koja se uklanja zbog gradnje nove građevine ili kada se postojeća građevina dograđuje, komunalni se doprinos obračunava na razliku u obujmu u odnosu na prijašnju građevinu.</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7.</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Iznimno od odredbe članka 6. ove Odluke, za otvorene bazene, otvorena igrališta, skladišta i druge otvorene građevine komunalni se doprinos obračunava po m</w:t>
      </w:r>
      <w:r w:rsidRPr="004F13AE">
        <w:rPr>
          <w:rFonts w:ascii="Arial" w:eastAsia="Times New Roman" w:hAnsi="Arial" w:cs="Arial"/>
          <w:color w:val="000000"/>
          <w:sz w:val="20"/>
          <w:szCs w:val="20"/>
          <w:vertAlign w:val="superscript"/>
        </w:rPr>
        <w:t>2</w:t>
      </w:r>
      <w:r w:rsidRPr="004F13AE">
        <w:rPr>
          <w:rFonts w:ascii="Arial" w:eastAsia="Times New Roman" w:hAnsi="Arial" w:cs="Arial"/>
          <w:color w:val="000000"/>
          <w:sz w:val="20"/>
        </w:rPr>
        <w:t> </w:t>
      </w:r>
      <w:r w:rsidRPr="004F13AE">
        <w:rPr>
          <w:rFonts w:ascii="Arial" w:eastAsia="Times New Roman" w:hAnsi="Arial" w:cs="Arial"/>
          <w:color w:val="000000"/>
          <w:sz w:val="20"/>
          <w:szCs w:val="20"/>
        </w:rPr>
        <w:t>tlocrtne površine te građevine, pri čemu je jedinična vrijednost komunalnog doprinosa za obračun njezine površine po m</w:t>
      </w:r>
      <w:r w:rsidRPr="004F13AE">
        <w:rPr>
          <w:rFonts w:ascii="Arial" w:eastAsia="Times New Roman" w:hAnsi="Arial" w:cs="Arial"/>
          <w:color w:val="000000"/>
          <w:sz w:val="20"/>
          <w:szCs w:val="20"/>
          <w:vertAlign w:val="superscript"/>
        </w:rPr>
        <w:t>2</w:t>
      </w:r>
      <w:r w:rsidRPr="004F13AE">
        <w:rPr>
          <w:rFonts w:ascii="Arial" w:eastAsia="Times New Roman" w:hAnsi="Arial" w:cs="Arial"/>
          <w:color w:val="000000"/>
          <w:sz w:val="20"/>
        </w:rPr>
        <w:t> </w:t>
      </w:r>
      <w:r w:rsidRPr="004F13AE">
        <w:rPr>
          <w:rFonts w:ascii="Arial" w:eastAsia="Times New Roman" w:hAnsi="Arial" w:cs="Arial"/>
          <w:color w:val="000000"/>
          <w:sz w:val="20"/>
          <w:szCs w:val="20"/>
        </w:rPr>
        <w:t>izražena u kunama jednaka jediničnoj vrijednosti komunalnog doprinosa za obračun obujma po m3 građevine prema članku 5. ove Odluke.</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8.</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"Ako građevinska čestica na kojoj postoji ili će se graditi građevina za koju se obračunava komunalni doprinos ima mogućnost priključenja na više cesta različite kvalitete kolnika, tada se za istu građevinu obračunava komunalni doprinos za izgradnju ceste za onu cestu koja ima bolju kvalitetu kolnika".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9.</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Komunalni doprinos plaća se na osnovu rješenja kojeg donosi Upravni odjel Općine Brckovljani u postupku pokrenutom po zahtjevu stranke ili po službenoj dužnosti.</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Rješenje iz stavka 1. ovog članka obavezno sadrži:</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1. iznos sredstava komunalnog doprinosa koji je obveznik dužan platiti,</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2. način i rokove plaćanja komunalnog doprinosa</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3. prikaz načina obračuna komunalnog doprinosa za građevinu koja se gradi,</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4. popis i rok izgradnje objekata i uređaja komunalne infrastrukture,</w:t>
      </w:r>
    </w:p>
    <w:p w:rsidR="004F13AE" w:rsidRPr="004F13AE" w:rsidRDefault="004F13AE" w:rsidP="004F13AE">
      <w:pPr>
        <w:spacing w:before="15" w:after="15" w:line="240" w:lineRule="auto"/>
        <w:ind w:left="1950" w:hanging="150"/>
        <w:jc w:val="both"/>
        <w:rPr>
          <w:rFonts w:ascii="Arial" w:eastAsia="Times New Roman" w:hAnsi="Arial" w:cs="Arial"/>
          <w:color w:val="000000"/>
          <w:sz w:val="20"/>
          <w:szCs w:val="20"/>
        </w:rPr>
      </w:pPr>
      <w:r w:rsidRPr="004F13AE">
        <w:rPr>
          <w:rFonts w:ascii="Arial" w:eastAsia="Times New Roman" w:hAnsi="Arial" w:cs="Arial"/>
          <w:color w:val="000000"/>
          <w:sz w:val="20"/>
          <w:szCs w:val="20"/>
        </w:rPr>
        <w:t>5. obvezu povrata sredstava ako Općina Brckovljani ne izvrši svoju obavezu.</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10.</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lastRenderedPageBreak/>
        <w:t>Obveznik komunalnog doprinosa plaća komunalni doprinos odjednom ili najviše u tri (3) rate na žiro račun proračuna Općine Brckovljani broj:2360000-1803300002.</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Iznos jedne rate iz stavka 1. ovog članka ne može biti manji od 1.000,00 kuna.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11.</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Izvršno rješenje o komunalnom doprinosu izvršava upravni odjel Općine Brckovljani u postupku i na način određen propisima o prisilnoj naplati poreza na dohodak odnosno dobit.</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12.</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Upravni odjel općine Brckovljani izdat će potvrdu o plaćenom komunalnom doprinosu tek kada je vlasnik građevine ili građevinske čestice obveznik komunalnog doprinosa podmirio obveze iz rješenja o komunalnom doprinosu i sva dospjela dugovanja prema Općini Brckovljani (komunalna naknada, naknada za održavanje groblja, obveze prema posebnom ugovoru o sufinanciranju izgradnje komunalnih objekata i uređaja i slično).</w:t>
      </w:r>
    </w:p>
    <w:p w:rsidR="004F13AE" w:rsidRPr="004F13AE" w:rsidRDefault="004F13AE" w:rsidP="004F13AE">
      <w:pPr>
        <w:spacing w:before="360" w:after="240" w:line="240" w:lineRule="atLeast"/>
        <w:ind w:left="1050" w:right="105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V. OSLOBAĐANJE OD PLAĆANJA KOMUNALNOG 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13.</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Vlasnici građevinskih čestica i drugih objekata, investitori koji su samodoprinosom ili na drugi način sudjelovali u financiranju gradnje pojedinih objekata i uređaja komunalne infrastrukture, kod utvrđivanja troškova imaju pravo na umanjenje troškova za iznos sredstava kojima su sudjelovali u financiranju izgradnje tih objekata.</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Uz zahtjev za oslobađanje plaćanja komunalnog doprinosa prema stavku 1. ovog članka vlasnik građevinske čestice ili drugog objekta treba priložiti dokaze o uplati.</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Vlasnici građevinskih čestica i drugih objekata te njihov prvi nasljedni red (sin ili kći) ako su živjeli sa roditeljima, koji su plaćali samodoprinos za izgradnju komunalne infrastrukture na području bivše Općine Dugo Selo oslobođeni su plaćanja komunalnog doprinosa u iznosu umanjenom za 10% za svaku godinu plaćanja samodoprinosa. Dokaz za plaćanje samodoprinosa je potvrda o prebivalištu izdana od MUP-a te potvrda o plaćanju samodoprinosa izdana od poduzeća, porezne uprave, mirovinskog osiguranja i drugi za razdoblje od 1981-1991. godine.</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Umanjenje komunalnog doprinosa temeljem samodoprinosa iz prethodnog stavka priznaje se samo za objekte komunalne infrastrukture koji su građani u vrijeme plaćanja samodoprinosa.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14.</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 slučaju kada Općina Brckovljani, građani i druge pravne osobe pristupe izgradnji novog komunalnog objekta ili uređaja u naselju ili u pojedinoj ulici, vlasnici građevinskih čestica i drugih objekata - ne oslobađaju se plaćanja komunalnog doprinosa prema odredbama članka 13. ove Odluke.</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15.</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Općinsko vijeće Općine Brckovljani na prijedlog Poglavarstva Općine Brckovljani može djelomično ili potpuno osloboditi obveznike plaćanja komunalnog doprinosa po pismenom zahtjevu istog.</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16.</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 slučajevima kada bude Općina Brckovljani investitor izgradnje građevine za vlastite potrebe tada Općina Brckovljani nije obveznik plaćanja komunalnog doprinosa.</w:t>
      </w:r>
    </w:p>
    <w:p w:rsidR="004F13AE" w:rsidRPr="004F13AE" w:rsidRDefault="004F13AE" w:rsidP="004F13AE">
      <w:pPr>
        <w:spacing w:before="360" w:after="240" w:line="240" w:lineRule="atLeast"/>
        <w:ind w:left="1350" w:right="150" w:hanging="30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lastRenderedPageBreak/>
        <w:t>VI. IZVORI SREDSTAVA U SLUČAJU OSLOBAĐANJA OD PLAĆANJA</w:t>
      </w:r>
      <w:r w:rsidRPr="004F13AE">
        <w:rPr>
          <w:rFonts w:ascii="Arial" w:eastAsia="Times New Roman" w:hAnsi="Arial" w:cs="Arial"/>
          <w:b/>
          <w:bCs/>
          <w:color w:val="000000"/>
          <w:sz w:val="20"/>
        </w:rPr>
        <w:t> </w:t>
      </w:r>
      <w:r w:rsidRPr="004F13AE">
        <w:rPr>
          <w:rFonts w:ascii="Arial" w:eastAsia="Times New Roman" w:hAnsi="Arial" w:cs="Arial"/>
          <w:b/>
          <w:bCs/>
          <w:color w:val="000000"/>
          <w:sz w:val="20"/>
          <w:szCs w:val="20"/>
        </w:rPr>
        <w:t>KOMUNALNOG DOPRINOSA</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17.</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 slučaju oslobađanja od plaćanja komunalnog doprinosa iz članka 13.15. i 16. ove Odluke, sredstva potrebna za izgradnju objekata i uređaja komunalne infrastrukture iz stavka 1. članka 22. Zakona o komunalnom gospodarstvu, osigurati će se u proračunu Općine Brckovljani.</w:t>
      </w:r>
    </w:p>
    <w:p w:rsidR="004F13AE" w:rsidRPr="004F13AE" w:rsidRDefault="004F13AE" w:rsidP="004F13AE">
      <w:pPr>
        <w:spacing w:before="360" w:after="240" w:line="240" w:lineRule="atLeast"/>
        <w:ind w:left="1050" w:right="1050"/>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VII. PRIJELAZNE l ZAVRŠNE ODREDBE</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18.</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Stupanjem na snagu ove Odluke prestaju važiti Odluka o komunalnom doprinosu (Službeni glasnik Općine Brckovljani broj 01/02.), Odluka o izmjeni i dopuni odluke o komunalnom doprinosu i Odluke o visini komunalnog doprinosa (Službeni glasnik Općine Brckovljani broj 01/03.).</w:t>
      </w:r>
    </w:p>
    <w:p w:rsidR="004F13AE" w:rsidRPr="004F13AE" w:rsidRDefault="004F13AE" w:rsidP="004F13AE">
      <w:pPr>
        <w:spacing w:before="240" w:after="120" w:line="240" w:lineRule="atLeast"/>
        <w:ind w:left="1050" w:right="1050"/>
        <w:jc w:val="center"/>
        <w:rPr>
          <w:rFonts w:ascii="Arial" w:eastAsia="Times New Roman" w:hAnsi="Arial" w:cs="Arial"/>
          <w:b/>
          <w:bCs/>
          <w:color w:val="000000"/>
          <w:sz w:val="20"/>
          <w:szCs w:val="20"/>
        </w:rPr>
      </w:pPr>
      <w:r w:rsidRPr="004F13AE">
        <w:rPr>
          <w:rFonts w:ascii="Arial" w:eastAsia="Times New Roman" w:hAnsi="Arial" w:cs="Arial"/>
          <w:b/>
          <w:bCs/>
          <w:color w:val="000000"/>
          <w:sz w:val="20"/>
          <w:szCs w:val="20"/>
        </w:rPr>
        <w:t>Članak 19.</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Ova Odluka stupa na snagu osmog dana od dana objave u Službenom glasniku općine Brckovljani.</w:t>
      </w:r>
    </w:p>
    <w:p w:rsidR="004F13AE" w:rsidRPr="004F13AE" w:rsidRDefault="004F13AE" w:rsidP="004F13AE">
      <w:pPr>
        <w:spacing w:before="120" w:after="120" w:line="240" w:lineRule="atLeast"/>
        <w:ind w:left="1050" w:right="1050"/>
        <w:jc w:val="right"/>
        <w:rPr>
          <w:rFonts w:ascii="Arial" w:eastAsia="Times New Roman" w:hAnsi="Arial" w:cs="Arial"/>
          <w:color w:val="000000"/>
          <w:sz w:val="20"/>
          <w:szCs w:val="20"/>
        </w:rPr>
      </w:pPr>
      <w:r w:rsidRPr="004F13AE">
        <w:rPr>
          <w:rFonts w:ascii="Arial" w:eastAsia="Times New Roman" w:hAnsi="Arial" w:cs="Arial"/>
          <w:color w:val="000000"/>
          <w:sz w:val="20"/>
          <w:szCs w:val="20"/>
        </w:rPr>
        <w:t>PREDSJEDNIK</w:t>
      </w:r>
      <w:r w:rsidRPr="004F13AE">
        <w:rPr>
          <w:rFonts w:ascii="Arial" w:eastAsia="Times New Roman" w:hAnsi="Arial" w:cs="Arial"/>
          <w:color w:val="000000"/>
          <w:sz w:val="20"/>
          <w:szCs w:val="20"/>
        </w:rPr>
        <w:br/>
        <w:t>Općinskog vijeća Općine Brckovljani</w:t>
      </w:r>
      <w:r w:rsidRPr="004F13AE">
        <w:rPr>
          <w:rFonts w:ascii="Arial" w:eastAsia="Times New Roman" w:hAnsi="Arial" w:cs="Arial"/>
          <w:color w:val="000000"/>
          <w:sz w:val="20"/>
          <w:szCs w:val="20"/>
        </w:rPr>
        <w:br/>
      </w:r>
      <w:r w:rsidRPr="004F13AE">
        <w:rPr>
          <w:rFonts w:ascii="Arial" w:eastAsia="Times New Roman" w:hAnsi="Arial" w:cs="Arial"/>
          <w:b/>
          <w:bCs/>
          <w:color w:val="000000"/>
          <w:sz w:val="20"/>
          <w:szCs w:val="20"/>
        </w:rPr>
        <w:t>Milan Kralj, v. r.</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Klasa: 021-05/04-01/93</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Ur.broj: 238/04-04-6</w:t>
      </w:r>
    </w:p>
    <w:p w:rsidR="004F13AE" w:rsidRPr="004F13AE" w:rsidRDefault="004F13AE" w:rsidP="004F13AE">
      <w:pPr>
        <w:spacing w:before="15" w:after="15" w:line="240" w:lineRule="auto"/>
        <w:ind w:left="1050" w:right="1050"/>
        <w:jc w:val="both"/>
        <w:rPr>
          <w:rFonts w:ascii="Arial" w:eastAsia="Times New Roman" w:hAnsi="Arial" w:cs="Arial"/>
          <w:color w:val="000000"/>
          <w:sz w:val="20"/>
          <w:szCs w:val="20"/>
        </w:rPr>
      </w:pPr>
      <w:r w:rsidRPr="004F13AE">
        <w:rPr>
          <w:rFonts w:ascii="Arial" w:eastAsia="Times New Roman" w:hAnsi="Arial" w:cs="Arial"/>
          <w:color w:val="000000"/>
          <w:sz w:val="20"/>
          <w:szCs w:val="20"/>
        </w:rPr>
        <w:t>Dugo Selo, 24.09.2004.</w:t>
      </w:r>
    </w:p>
    <w:p w:rsidR="00EB4224" w:rsidRDefault="00EB4224"/>
    <w:sectPr w:rsidR="00EB42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4F13AE"/>
    <w:rsid w:val="004F13AE"/>
    <w:rsid w:val="00EB422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4F1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4F1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4F1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4F1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13AE"/>
  </w:style>
  <w:style w:type="paragraph" w:styleId="NormalWeb">
    <w:name w:val="Normal (Web)"/>
    <w:basedOn w:val="Normal"/>
    <w:uiPriority w:val="99"/>
    <w:unhideWhenUsed/>
    <w:rsid w:val="004F1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4F13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549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2016-07-19T19:51:00Z</dcterms:created>
  <dcterms:modified xsi:type="dcterms:W3CDTF">2016-07-19T19:51:00Z</dcterms:modified>
</cp:coreProperties>
</file>